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9191" w14:textId="650ABD9C" w:rsidR="00CA7D1D" w:rsidRPr="00C65507" w:rsidRDefault="00835836" w:rsidP="00F40BAF">
      <w:pPr>
        <w:pStyle w:val="NormalWeb"/>
        <w:jc w:val="center"/>
        <w:rPr>
          <w:rFonts w:ascii="Cambria" w:hAnsi="Cambria"/>
          <w:b/>
          <w:bCs/>
          <w:lang w:val="en-GB"/>
        </w:rPr>
      </w:pPr>
      <w:r w:rsidRPr="00C65507">
        <w:rPr>
          <w:rFonts w:ascii="Cambria" w:hAnsi="Cambria"/>
          <w:b/>
          <w:bCs/>
          <w:lang w:val="en-GB"/>
        </w:rPr>
        <w:t xml:space="preserve">Grading criteria for </w:t>
      </w:r>
      <w:r w:rsidR="00CA7D1D" w:rsidRPr="00C65507">
        <w:rPr>
          <w:rFonts w:ascii="Cambria" w:hAnsi="Cambria"/>
          <w:b/>
          <w:bCs/>
          <w:lang w:val="en-GB"/>
        </w:rPr>
        <w:t>COS</w:t>
      </w:r>
      <w:r w:rsidR="0080280A" w:rsidRPr="00C65507">
        <w:rPr>
          <w:rFonts w:ascii="Cambria" w:hAnsi="Cambria"/>
          <w:b/>
          <w:bCs/>
          <w:lang w:val="en-GB"/>
        </w:rPr>
        <w:t>M37</w:t>
      </w:r>
    </w:p>
    <w:p w14:paraId="4B528032" w14:textId="27C3EF6C" w:rsidR="00CA7D1D" w:rsidRPr="001A547E" w:rsidRDefault="001063AF" w:rsidP="00F40BAF">
      <w:pPr>
        <w:pStyle w:val="NormalWeb"/>
        <w:jc w:val="center"/>
        <w:rPr>
          <w:rFonts w:ascii="Cambria" w:hAnsi="Cambria"/>
          <w:lang w:val="en-GB"/>
        </w:rPr>
      </w:pPr>
      <w:r w:rsidRPr="0080280A">
        <w:rPr>
          <w:rFonts w:ascii="Cambria" w:hAnsi="Cambria"/>
          <w:b/>
          <w:bCs/>
          <w:lang w:val="en-GB"/>
        </w:rPr>
        <w:t>Course title</w:t>
      </w:r>
      <w:r w:rsidR="0080280A">
        <w:rPr>
          <w:rFonts w:ascii="Cambria" w:hAnsi="Cambria"/>
          <w:lang w:val="en-GB"/>
        </w:rPr>
        <w:t xml:space="preserve">: </w:t>
      </w:r>
      <w:r w:rsidR="0080280A" w:rsidRPr="0080280A">
        <w:rPr>
          <w:rFonts w:ascii="Cambria" w:hAnsi="Cambria"/>
          <w:lang w:val="en-GB"/>
        </w:rPr>
        <w:t>Asian studies: East and South-East Asia in Global</w:t>
      </w:r>
      <w:r w:rsidR="0080280A">
        <w:rPr>
          <w:rFonts w:ascii="Cambria" w:hAnsi="Cambria"/>
          <w:lang w:val="en-GB"/>
        </w:rPr>
        <w:t xml:space="preserve"> </w:t>
      </w:r>
      <w:r w:rsidR="0080280A" w:rsidRPr="0080280A">
        <w:rPr>
          <w:rFonts w:ascii="Cambria" w:hAnsi="Cambria"/>
          <w:lang w:val="en-GB"/>
        </w:rPr>
        <w:t>and Regional Politics</w:t>
      </w:r>
    </w:p>
    <w:p w14:paraId="35FB0C17" w14:textId="77777777" w:rsidR="001063AF" w:rsidRPr="001154CA" w:rsidRDefault="001063AF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370CD59B" w14:textId="77777777" w:rsidR="00835836" w:rsidRPr="0080280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scale: </w:t>
      </w:r>
      <w:r w:rsidRPr="0080280A">
        <w:rPr>
          <w:rFonts w:ascii="Cambria" w:hAnsi="Cambria" w:cstheme="majorBidi"/>
          <w:sz w:val="22"/>
          <w:szCs w:val="22"/>
          <w:lang w:val="en-GB"/>
        </w:rPr>
        <w:t>Fail, E, D, C, B, A</w:t>
      </w:r>
    </w:p>
    <w:p w14:paraId="026B742D" w14:textId="77777777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835836" w:rsidRPr="001154CA" w14:paraId="002E4D69" w14:textId="77777777" w:rsidTr="00F275BC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A628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14:paraId="1D7735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Excellent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013E39C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A517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14:paraId="4A3951BA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Very good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40120DE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</w:p>
          <w:p w14:paraId="39139E68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proofErr w:type="gramStart"/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Generally</w:t>
            </w:r>
            <w:proofErr w:type="gramEnd"/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 xml:space="preserve">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A81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14:paraId="11704923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Less 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BB28D12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some of the requirements of the task with frequent lapses.</w:t>
            </w:r>
          </w:p>
          <w:p w14:paraId="2BDABEB6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176D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14:paraId="1A3652C5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Unsatisfactory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11FC74" w14:textId="77777777" w:rsidR="00835836" w:rsidRPr="001154CA" w:rsidRDefault="00835836" w:rsidP="00F275BC">
            <w:pPr>
              <w:widowControl w:val="0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of the task requirements are partially addressed.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77777777" w:rsidR="00835836" w:rsidRPr="001154CA" w:rsidRDefault="00835836" w:rsidP="00F275BC">
            <w:pPr>
              <w:widowControl w:val="0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</w:p>
          <w:p w14:paraId="40AB216E" w14:textId="77777777" w:rsidR="00835836" w:rsidRPr="001154CA" w:rsidRDefault="00835836" w:rsidP="00F275BC">
            <w:pPr>
              <w:widowControl w:val="0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4B7E985A" w:rsidR="00835836" w:rsidRDefault="00835836" w:rsidP="00835836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52A784CB" w14:textId="77777777" w:rsidR="00AE6AB7" w:rsidRPr="001154CA" w:rsidRDefault="00AE6AB7" w:rsidP="00835836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2F3DCBE9" w:rsidR="00835836" w:rsidRPr="001063AF" w:rsidRDefault="00835836" w:rsidP="00835836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b/>
          <w:bCs/>
          <w:sz w:val="22"/>
          <w:szCs w:val="22"/>
          <w:lang w:val="en-GB"/>
        </w:rPr>
        <w:t>Grades for the COSM</w:t>
      </w:r>
      <w:r w:rsidR="00C65507">
        <w:rPr>
          <w:rFonts w:ascii="Cambria" w:hAnsi="Cambria"/>
          <w:b/>
          <w:bCs/>
          <w:sz w:val="22"/>
          <w:szCs w:val="22"/>
          <w:lang w:val="en-GB"/>
        </w:rPr>
        <w:t>37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="00CA7D1D" w:rsidRPr="001A547E">
        <w:rPr>
          <w:rFonts w:ascii="Cambria" w:hAnsi="Cambria"/>
          <w:b/>
          <w:bCs/>
          <w:sz w:val="22"/>
          <w:szCs w:val="22"/>
          <w:lang w:val="en-GB"/>
        </w:rPr>
        <w:t>S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  <w:r w:rsidRPr="001063AF">
        <w:rPr>
          <w:rFonts w:ascii="Cambria" w:hAnsi="Cambria"/>
          <w:sz w:val="22"/>
          <w:szCs w:val="22"/>
          <w:lang w:val="en-GB"/>
        </w:rPr>
        <w:t xml:space="preserve"> </w:t>
      </w:r>
    </w:p>
    <w:p w14:paraId="4E490571" w14:textId="208C93B3" w:rsidR="00753A73" w:rsidRPr="00753A73" w:rsidRDefault="001063AF" w:rsidP="00753A73">
      <w:pPr>
        <w:pStyle w:val="NormalWeb"/>
        <w:spacing w:before="0" w:beforeAutospacing="0" w:after="0" w:afterAutospacing="0"/>
        <w:ind w:left="720"/>
        <w:rPr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BBA256A" w14:textId="6A8B8FF3" w:rsidR="0080280A" w:rsidRPr="007C55FB" w:rsidRDefault="0080280A" w:rsidP="0080280A">
      <w:pPr>
        <w:pStyle w:val="NormalWeb"/>
        <w:spacing w:before="0" w:beforeAutospacing="0" w:after="0" w:afterAutospacing="0"/>
        <w:ind w:firstLine="720"/>
        <w:rPr>
          <w:sz w:val="22"/>
          <w:szCs w:val="22"/>
          <w:lang w:val="en-US"/>
        </w:rPr>
      </w:pPr>
      <w:r w:rsidRPr="007C55FB">
        <w:rPr>
          <w:sz w:val="22"/>
          <w:szCs w:val="22"/>
          <w:lang w:val="en-US"/>
        </w:rPr>
        <w:t xml:space="preserve">2001 Individual Seminar </w:t>
      </w:r>
      <w:r>
        <w:rPr>
          <w:sz w:val="22"/>
          <w:szCs w:val="22"/>
          <w:lang w:val="en-US"/>
        </w:rPr>
        <w:t>Assignment</w:t>
      </w:r>
      <w:r w:rsidRPr="007C55F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2</w:t>
      </w:r>
      <w:r w:rsidRPr="007C55F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5</w:t>
      </w:r>
      <w:r w:rsidRPr="007C55FB">
        <w:rPr>
          <w:sz w:val="22"/>
          <w:szCs w:val="22"/>
          <w:lang w:val="en-US"/>
        </w:rPr>
        <w:t xml:space="preserve"> hp Grading scale: Fail, E, D, C, B, A </w:t>
      </w:r>
    </w:p>
    <w:p w14:paraId="2F3A5EA7" w14:textId="77777777" w:rsidR="0080280A" w:rsidRDefault="0080280A" w:rsidP="0080280A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C55FB">
        <w:rPr>
          <w:sz w:val="22"/>
          <w:szCs w:val="22"/>
          <w:lang w:val="en-US"/>
        </w:rPr>
        <w:t xml:space="preserve"> Individual </w:t>
      </w:r>
      <w:r>
        <w:rPr>
          <w:sz w:val="22"/>
          <w:szCs w:val="22"/>
          <w:lang w:val="en-US"/>
        </w:rPr>
        <w:t>Take-Home Exam</w:t>
      </w:r>
      <w:r w:rsidRPr="007C55F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5</w:t>
      </w:r>
      <w:r w:rsidRPr="007C55FB">
        <w:rPr>
          <w:sz w:val="22"/>
          <w:szCs w:val="22"/>
          <w:lang w:val="en-US"/>
        </w:rPr>
        <w:t xml:space="preserve">,0 hp Grading scale: Fail, E, D, C, B, A </w:t>
      </w:r>
    </w:p>
    <w:p w14:paraId="6D4DEBFB" w14:textId="77777777" w:rsidR="0080280A" w:rsidRPr="007C55FB" w:rsidRDefault="0080280A" w:rsidP="0080280A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p w14:paraId="34F5EBB4" w14:textId="0FF316B0" w:rsidR="001F2FF0" w:rsidRPr="0080280A" w:rsidRDefault="001F2FF0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US"/>
        </w:rPr>
      </w:pPr>
    </w:p>
    <w:p w14:paraId="4A5091B8" w14:textId="77777777" w:rsidR="0080280A" w:rsidRPr="001154CA" w:rsidRDefault="0080280A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p w14:paraId="74E541D4" w14:textId="12BA483A" w:rsidR="00835836" w:rsidRPr="001154CA" w:rsidRDefault="00835836" w:rsidP="00835836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r w:rsidR="0080280A">
        <w:rPr>
          <w:rFonts w:ascii="Cambria" w:hAnsi="Cambria" w:cstheme="majorBidi"/>
          <w:b/>
          <w:bCs/>
          <w:sz w:val="22"/>
          <w:szCs w:val="22"/>
          <w:lang w:val="en-GB"/>
        </w:rPr>
        <w:t>2001 Individual Seminar Paper I</w:t>
      </w:r>
      <w:r w:rsidR="001063AF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 </w:t>
      </w:r>
    </w:p>
    <w:p w14:paraId="1E8594D9" w14:textId="007BB486" w:rsidR="005B0409" w:rsidRPr="004115E3" w:rsidRDefault="004115E3" w:rsidP="004115E3">
      <w:pPr>
        <w:pStyle w:val="NormalWeb"/>
        <w:spacing w:before="0" w:beforeAutospacing="0" w:after="0" w:afterAutospacing="0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A752FD1" w14:textId="628A58DA" w:rsidR="00922E62" w:rsidRDefault="00835836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</w:t>
      </w:r>
      <w:r w:rsidR="00122DE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122DE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122DE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4DCA31B8" w14:textId="68057145" w:rsidR="005B0409" w:rsidRPr="001154CA" w:rsidRDefault="00835836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6E56FA8A" w14:textId="414CED30" w:rsidR="005B0409" w:rsidRPr="001154CA" w:rsidRDefault="005B0409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44D11CAF" w14:textId="407F8487" w:rsidR="008028CA" w:rsidRPr="00922E62" w:rsidRDefault="005B0409" w:rsidP="0080280A">
      <w:pPr>
        <w:pStyle w:val="NormalWeb"/>
        <w:rPr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877218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07503874" w14:textId="362E9412" w:rsidR="005B0409" w:rsidRPr="001154CA" w:rsidRDefault="005B0409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="00877218"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0F3795B1" w14:textId="24CA703A" w:rsidR="0080280A" w:rsidRDefault="005B0409" w:rsidP="0080280A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assess how theories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on international relations can be applied to studies of international issues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</w:p>
    <w:p w14:paraId="054036DE" w14:textId="77777777" w:rsidR="00C65507" w:rsidRDefault="00C65507" w:rsidP="0080280A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</w:p>
    <w:p w14:paraId="066834CE" w14:textId="72292E97" w:rsidR="0080280A" w:rsidRPr="001154CA" w:rsidRDefault="0080280A" w:rsidP="0080280A">
      <w:pPr>
        <w:pStyle w:val="NormalWeb"/>
        <w:spacing w:before="0" w:beforeAutospacing="0" w:after="0" w:afterAutospacing="0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lastRenderedPageBreak/>
        <w:t xml:space="preserve">Grading criteria for 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2001 Individual Seminar Paper I</w:t>
      </w:r>
      <w:r>
        <w:rPr>
          <w:rFonts w:ascii="Cambria" w:hAnsi="Cambria" w:cstheme="majorBidi"/>
          <w:b/>
          <w:bCs/>
          <w:sz w:val="22"/>
          <w:szCs w:val="22"/>
          <w:lang w:val="en-GB"/>
        </w:rPr>
        <w:t>I</w:t>
      </w:r>
    </w:p>
    <w:p w14:paraId="6B1CB635" w14:textId="6E01757A" w:rsidR="0080280A" w:rsidRDefault="0080280A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</w:t>
      </w:r>
      <w:r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p w14:paraId="1ED40205" w14:textId="607B4199" w:rsidR="0080280A" w:rsidRPr="001154CA" w:rsidRDefault="0080280A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very good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p w14:paraId="465E2D38" w14:textId="7CD07DB9" w:rsidR="0080280A" w:rsidRPr="00922E62" w:rsidRDefault="0080280A" w:rsidP="0080280A">
      <w:pPr>
        <w:pStyle w:val="NormalWeb"/>
        <w:rPr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p w14:paraId="1EEB65DD" w14:textId="0A489587" w:rsidR="0080280A" w:rsidRPr="001154CA" w:rsidRDefault="0080280A" w:rsidP="00C65507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p w14:paraId="47AF9EA2" w14:textId="7A1D5E8F" w:rsidR="0080280A" w:rsidRPr="00922E62" w:rsidRDefault="0080280A" w:rsidP="0080280A">
      <w:pPr>
        <w:pStyle w:val="NormalWeb"/>
        <w:rPr>
          <w:lang w:val="en-US" w:eastAsia="sv-SE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ability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p w14:paraId="561D8559" w14:textId="5BDD8A18" w:rsidR="0080280A" w:rsidRPr="006922EC" w:rsidRDefault="0080280A" w:rsidP="0080280A">
      <w:pPr>
        <w:pStyle w:val="NormalWeb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1154CA">
        <w:rPr>
          <w:rFonts w:ascii="Cambria" w:hAnsi="Cambria" w:cstheme="majorBidi"/>
          <w:sz w:val="22"/>
          <w:szCs w:val="22"/>
          <w:lang w:val="en-GB"/>
        </w:rPr>
        <w:t>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o </w:t>
      </w:r>
      <w:r w:rsidR="00C65507" w:rsidRPr="00122DE7">
        <w:rPr>
          <w:rFonts w:ascii="Cambria" w:hAnsi="Cambria" w:cstheme="majorBidi"/>
          <w:sz w:val="22"/>
          <w:szCs w:val="22"/>
          <w:lang w:val="en-GB"/>
        </w:rPr>
        <w:t>account for basic theories and concepts in the field of international relations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and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critically and independently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apply current theories to specific issues concerning international relations in East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C65507" w:rsidRPr="00C65507">
        <w:rPr>
          <w:rFonts w:ascii="Cambria" w:hAnsi="Cambria" w:cstheme="majorBidi"/>
          <w:sz w:val="22"/>
          <w:szCs w:val="22"/>
          <w:lang w:val="en-GB"/>
        </w:rPr>
        <w:t>and South-East Asia</w:t>
      </w:r>
      <w:r w:rsidR="00C65507">
        <w:rPr>
          <w:rFonts w:ascii="Cambria" w:hAnsi="Cambria" w:cstheme="majorBidi"/>
          <w:sz w:val="22"/>
          <w:szCs w:val="22"/>
          <w:lang w:val="en-GB"/>
        </w:rPr>
        <w:t xml:space="preserve"> using primary and secondary sources</w:t>
      </w:r>
    </w:p>
    <w:sectPr w:rsidR="0080280A" w:rsidRPr="006922EC" w:rsidSect="00D03BF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99205" w14:textId="77777777" w:rsidR="00E35D81" w:rsidRDefault="00E35D81" w:rsidP="00020C10">
      <w:r>
        <w:separator/>
      </w:r>
    </w:p>
  </w:endnote>
  <w:endnote w:type="continuationSeparator" w:id="0">
    <w:p w14:paraId="109EBC60" w14:textId="77777777" w:rsidR="00E35D81" w:rsidRDefault="00E35D81" w:rsidP="000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LTSt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26AE" w14:textId="77777777" w:rsidR="00E35D81" w:rsidRDefault="00E35D81" w:rsidP="00020C10">
      <w:r>
        <w:separator/>
      </w:r>
    </w:p>
  </w:footnote>
  <w:footnote w:type="continuationSeparator" w:id="0">
    <w:p w14:paraId="386FF7FB" w14:textId="77777777" w:rsidR="00E35D81" w:rsidRDefault="00E35D81" w:rsidP="000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63528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8D1FBB" w14:textId="0629A7F5" w:rsidR="00020C10" w:rsidRDefault="00020C10" w:rsidP="000350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B2DEA" w14:textId="77777777" w:rsidR="00020C10" w:rsidRDefault="00020C10" w:rsidP="00020C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43024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1E2B7B" w14:textId="61652D1A" w:rsidR="00020C10" w:rsidRDefault="00020C10" w:rsidP="000350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AA3E5" w14:textId="77777777" w:rsidR="00020C10" w:rsidRDefault="00020C10" w:rsidP="00020C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A6A"/>
    <w:multiLevelType w:val="multilevel"/>
    <w:tmpl w:val="11F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16B3"/>
    <w:multiLevelType w:val="hybridMultilevel"/>
    <w:tmpl w:val="8062A708"/>
    <w:lvl w:ilvl="0" w:tplc="DBE465D2">
      <w:start w:val="2002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A5B9B"/>
    <w:multiLevelType w:val="multilevel"/>
    <w:tmpl w:val="4B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73998"/>
    <w:multiLevelType w:val="multilevel"/>
    <w:tmpl w:val="66BA836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E610E"/>
    <w:multiLevelType w:val="multilevel"/>
    <w:tmpl w:val="5B5A20D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04ADF"/>
    <w:multiLevelType w:val="multilevel"/>
    <w:tmpl w:val="062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B44752"/>
    <w:multiLevelType w:val="hybridMultilevel"/>
    <w:tmpl w:val="2E76C278"/>
    <w:lvl w:ilvl="0" w:tplc="131EDDBC">
      <w:start w:val="1902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6"/>
    <w:rsid w:val="00020C10"/>
    <w:rsid w:val="000460C0"/>
    <w:rsid w:val="00067BBA"/>
    <w:rsid w:val="00087982"/>
    <w:rsid w:val="0009342D"/>
    <w:rsid w:val="000C2980"/>
    <w:rsid w:val="000D7180"/>
    <w:rsid w:val="000F59D9"/>
    <w:rsid w:val="001063AF"/>
    <w:rsid w:val="001154CA"/>
    <w:rsid w:val="00122DE7"/>
    <w:rsid w:val="001A547E"/>
    <w:rsid w:val="001F2FF0"/>
    <w:rsid w:val="00357821"/>
    <w:rsid w:val="003758B1"/>
    <w:rsid w:val="004115E3"/>
    <w:rsid w:val="00434DED"/>
    <w:rsid w:val="00487C96"/>
    <w:rsid w:val="005772DA"/>
    <w:rsid w:val="005B0409"/>
    <w:rsid w:val="005E1578"/>
    <w:rsid w:val="00665C02"/>
    <w:rsid w:val="006922EC"/>
    <w:rsid w:val="007363D4"/>
    <w:rsid w:val="00753A73"/>
    <w:rsid w:val="007A25F4"/>
    <w:rsid w:val="007C5A5E"/>
    <w:rsid w:val="008006D8"/>
    <w:rsid w:val="0080280A"/>
    <w:rsid w:val="008028CA"/>
    <w:rsid w:val="00835836"/>
    <w:rsid w:val="00877218"/>
    <w:rsid w:val="0088539F"/>
    <w:rsid w:val="00907B55"/>
    <w:rsid w:val="00922E62"/>
    <w:rsid w:val="00972AC8"/>
    <w:rsid w:val="009A7FF7"/>
    <w:rsid w:val="00A37350"/>
    <w:rsid w:val="00AE6AB7"/>
    <w:rsid w:val="00B7526E"/>
    <w:rsid w:val="00C65507"/>
    <w:rsid w:val="00CA7D1D"/>
    <w:rsid w:val="00CF5367"/>
    <w:rsid w:val="00D03BFB"/>
    <w:rsid w:val="00E35D81"/>
    <w:rsid w:val="00E50B90"/>
    <w:rsid w:val="00E605B1"/>
    <w:rsid w:val="00F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B275"/>
  <w14:defaultImageDpi w14:val="300"/>
  <w15:docId w15:val="{9E38D21E-571C-494D-AE24-093464BB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0A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10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20C10"/>
  </w:style>
  <w:style w:type="paragraph" w:styleId="ListParagraph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618</Words>
  <Characters>3327</Characters>
  <Application>Microsoft Office Word</Application>
  <DocSecurity>0</DocSecurity>
  <Lines>51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Paul O'shea</cp:lastModifiedBy>
  <cp:revision>3</cp:revision>
  <dcterms:created xsi:type="dcterms:W3CDTF">2021-05-14T11:39:00Z</dcterms:created>
  <dcterms:modified xsi:type="dcterms:W3CDTF">2021-05-14T12:24:00Z</dcterms:modified>
</cp:coreProperties>
</file>