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E0" w:rsidRPr="007E6756" w:rsidRDefault="00761BE0" w:rsidP="00761BE0">
      <w:pPr>
        <w:contextualSpacing/>
        <w:rPr>
          <w:rFonts w:ascii="Verdana" w:hAnsi="Verdana"/>
          <w:sz w:val="20"/>
          <w:szCs w:val="20"/>
        </w:rPr>
      </w:pPr>
      <w:r w:rsidRPr="007E6756">
        <w:rPr>
          <w:rFonts w:ascii="Verdana" w:hAnsi="Verdana"/>
          <w:sz w:val="20"/>
          <w:szCs w:val="20"/>
        </w:rPr>
        <w:t>LUNDS UNIVERSITET</w:t>
      </w:r>
    </w:p>
    <w:p w:rsidR="00761BE0" w:rsidRPr="007E6756" w:rsidRDefault="00761BE0" w:rsidP="00761BE0">
      <w:pPr>
        <w:contextualSpacing/>
        <w:rPr>
          <w:rFonts w:ascii="Verdana" w:hAnsi="Verdana"/>
          <w:sz w:val="20"/>
          <w:szCs w:val="20"/>
        </w:rPr>
      </w:pPr>
      <w:r w:rsidRPr="007E6756">
        <w:rPr>
          <w:rFonts w:ascii="Verdana" w:hAnsi="Verdana"/>
          <w:sz w:val="20"/>
          <w:szCs w:val="20"/>
        </w:rPr>
        <w:t>HISTORISKA INSTITUTIONEN</w:t>
      </w:r>
    </w:p>
    <w:p w:rsidR="00761BE0" w:rsidRDefault="00761BE0" w:rsidP="00761BE0">
      <w:pPr>
        <w:contextualSpacing/>
        <w:rPr>
          <w:rFonts w:ascii="Verdana" w:hAnsi="Verdana"/>
          <w:sz w:val="20"/>
          <w:szCs w:val="20"/>
        </w:rPr>
      </w:pPr>
      <w:r w:rsidRPr="007E6756">
        <w:rPr>
          <w:rFonts w:ascii="Verdana" w:hAnsi="Verdana"/>
          <w:sz w:val="20"/>
          <w:szCs w:val="20"/>
        </w:rPr>
        <w:t>HIS A22</w:t>
      </w:r>
      <w:r w:rsidR="005940BA">
        <w:rPr>
          <w:rFonts w:ascii="Verdana" w:hAnsi="Verdana"/>
          <w:sz w:val="20"/>
          <w:szCs w:val="20"/>
        </w:rPr>
        <w:t xml:space="preserve"> </w:t>
      </w:r>
      <w:proofErr w:type="spellStart"/>
      <w:r w:rsidR="005940BA">
        <w:rPr>
          <w:rFonts w:ascii="Verdana" w:hAnsi="Verdana"/>
          <w:sz w:val="20"/>
          <w:szCs w:val="20"/>
        </w:rPr>
        <w:t>dk</w:t>
      </w:r>
      <w:proofErr w:type="spellEnd"/>
      <w:r w:rsidR="005940BA">
        <w:rPr>
          <w:rFonts w:ascii="Verdana" w:hAnsi="Verdana"/>
          <w:sz w:val="20"/>
          <w:szCs w:val="20"/>
        </w:rPr>
        <w:t xml:space="preserve"> 1</w:t>
      </w:r>
      <w:r>
        <w:rPr>
          <w:rFonts w:ascii="Verdana" w:hAnsi="Verdana"/>
          <w:sz w:val="20"/>
          <w:szCs w:val="20"/>
        </w:rPr>
        <w:t>, tematisk fördjupning 1</w:t>
      </w:r>
    </w:p>
    <w:p w:rsidR="00761BE0" w:rsidRPr="007E6756" w:rsidRDefault="00761BE0" w:rsidP="00761BE0">
      <w:pPr>
        <w:contextualSpacing/>
      </w:pPr>
      <w:r>
        <w:rPr>
          <w:rFonts w:ascii="Verdana" w:hAnsi="Verdana"/>
          <w:i/>
          <w:sz w:val="20"/>
          <w:szCs w:val="20"/>
        </w:rPr>
        <w:t>Harald Gustafsson</w:t>
      </w:r>
    </w:p>
    <w:p w:rsidR="00761BE0" w:rsidRDefault="00761BE0" w:rsidP="00761BE0">
      <w:pPr>
        <w:jc w:val="center"/>
        <w:rPr>
          <w:rFonts w:ascii="Old English Text MT" w:hAnsi="Old English Text MT"/>
          <w:sz w:val="40"/>
          <w:szCs w:val="40"/>
        </w:rPr>
      </w:pPr>
    </w:p>
    <w:p w:rsidR="00761BE0" w:rsidRPr="00761BE0" w:rsidRDefault="00761BE0" w:rsidP="00761BE0">
      <w:pPr>
        <w:jc w:val="center"/>
        <w:rPr>
          <w:rFonts w:ascii="Old English Text MT" w:hAnsi="Old English Text MT"/>
          <w:sz w:val="28"/>
          <w:szCs w:val="28"/>
        </w:rPr>
      </w:pPr>
      <w:r w:rsidRPr="00761BE0">
        <w:rPr>
          <w:rFonts w:ascii="Verdana" w:hAnsi="Verdana"/>
          <w:sz w:val="28"/>
          <w:szCs w:val="28"/>
        </w:rPr>
        <w:t>Livsvärldar i det tidigmoderna Europa</w:t>
      </w:r>
    </w:p>
    <w:p w:rsidR="004566BC" w:rsidRDefault="004566BC" w:rsidP="004566BC">
      <w:pPr>
        <w:jc w:val="center"/>
      </w:pPr>
      <w:r w:rsidRPr="004566BC">
        <w:rPr>
          <w:rFonts w:ascii="Verdana" w:hAnsi="Verdana"/>
          <w:sz w:val="28"/>
          <w:szCs w:val="28"/>
        </w:rPr>
        <w:t>Några förslag på böcker till den individuella uppgiften</w:t>
      </w:r>
    </w:p>
    <w:p w:rsidR="004D0CDA" w:rsidRDefault="004D0CDA" w:rsidP="004566BC">
      <w:pPr>
        <w:rPr>
          <w:i/>
        </w:rPr>
      </w:pPr>
    </w:p>
    <w:p w:rsidR="004566BC" w:rsidRPr="005062FC" w:rsidRDefault="005062FC" w:rsidP="004566BC">
      <w:pPr>
        <w:rPr>
          <w:i/>
        </w:rPr>
      </w:pPr>
      <w:r w:rsidRPr="005062FC">
        <w:rPr>
          <w:i/>
        </w:rPr>
        <w:t>Välj en bok efter intresseområde som du vill fördjupa dig i</w:t>
      </w:r>
      <w:r w:rsidR="00E8584F">
        <w:rPr>
          <w:i/>
        </w:rPr>
        <w:t>!</w:t>
      </w:r>
      <w:r w:rsidRPr="005062FC">
        <w:rPr>
          <w:i/>
        </w:rPr>
        <w:t xml:space="preserve"> Nedanståend</w:t>
      </w:r>
      <w:r w:rsidR="005940BA">
        <w:rPr>
          <w:i/>
        </w:rPr>
        <w:t>e är bara tips</w:t>
      </w:r>
      <w:r w:rsidRPr="005062FC">
        <w:rPr>
          <w:i/>
        </w:rPr>
        <w:t xml:space="preserve"> men du får gärna själv hitta en annan bok.</w:t>
      </w:r>
      <w:r w:rsidR="00E8584F">
        <w:rPr>
          <w:i/>
        </w:rPr>
        <w:t xml:space="preserve"> Den behöver inte vara svensk men ska vara en</w:t>
      </w:r>
      <w:r w:rsidR="00887416">
        <w:rPr>
          <w:i/>
        </w:rPr>
        <w:t xml:space="preserve"> </w:t>
      </w:r>
      <w:r w:rsidR="00887416" w:rsidRPr="00893794">
        <w:t>monografi</w:t>
      </w:r>
      <w:r w:rsidR="00887416">
        <w:rPr>
          <w:i/>
        </w:rPr>
        <w:t>, d.v.s. en</w:t>
      </w:r>
      <w:r w:rsidR="009B5607">
        <w:rPr>
          <w:i/>
        </w:rPr>
        <w:t xml:space="preserve"> sammanhållen </w:t>
      </w:r>
      <w:r w:rsidR="00E8584F">
        <w:rPr>
          <w:i/>
        </w:rPr>
        <w:t>vetenskaplig studie</w:t>
      </w:r>
      <w:r w:rsidR="009B5607">
        <w:rPr>
          <w:i/>
        </w:rPr>
        <w:t xml:space="preserve"> </w:t>
      </w:r>
      <w:r w:rsidR="00E8584F">
        <w:rPr>
          <w:i/>
        </w:rPr>
        <w:t>(inte en antologi, inte populärvetenskap eller översikt)</w:t>
      </w:r>
      <w:r w:rsidR="005940BA">
        <w:rPr>
          <w:i/>
        </w:rPr>
        <w:t xml:space="preserve"> och behandla tidigmodern tid</w:t>
      </w:r>
      <w:r w:rsidR="00E8584F">
        <w:rPr>
          <w:i/>
        </w:rPr>
        <w:t>.</w:t>
      </w:r>
      <w:r w:rsidRPr="005062FC">
        <w:rPr>
          <w:i/>
        </w:rPr>
        <w:t xml:space="preserve"> Tala med läraren innan du bestämmer dig!</w:t>
      </w:r>
    </w:p>
    <w:p w:rsidR="005062FC" w:rsidRDefault="005062FC" w:rsidP="004566BC"/>
    <w:p w:rsidR="004566BC" w:rsidRDefault="004566BC" w:rsidP="004566BC">
      <w:pPr>
        <w:rPr>
          <w:b/>
        </w:rPr>
      </w:pPr>
      <w:r w:rsidRPr="004566BC">
        <w:rPr>
          <w:b/>
        </w:rPr>
        <w:t>Ekonomi och social skiktning</w:t>
      </w:r>
    </w:p>
    <w:p w:rsidR="0047529B" w:rsidRDefault="0047529B" w:rsidP="0047529B">
      <w:r>
        <w:t xml:space="preserve">Gudrun Andersson, </w:t>
      </w:r>
      <w:r>
        <w:rPr>
          <w:i/>
        </w:rPr>
        <w:t xml:space="preserve">Stadens dignitärer. Den lokala elitens status- och maktmanifestation i Arboga 1650-1770, </w:t>
      </w:r>
      <w:r>
        <w:t>2009</w:t>
      </w:r>
    </w:p>
    <w:p w:rsidR="001010B8" w:rsidRPr="001010B8" w:rsidRDefault="001010B8" w:rsidP="004566BC">
      <w:r>
        <w:rPr>
          <w:rStyle w:val="mcecontentarea"/>
        </w:rPr>
        <w:t xml:space="preserve">Solveig Fagerlund, </w:t>
      </w:r>
      <w:r>
        <w:rPr>
          <w:rStyle w:val="mcecontentarea"/>
          <w:i/>
        </w:rPr>
        <w:t xml:space="preserve">Handel och vandel. Vardagslivets sociala struktur ur ett kvinnoperspektiv. Helsingborg ca 1680-1709, </w:t>
      </w:r>
      <w:r>
        <w:t xml:space="preserve">Lund </w:t>
      </w:r>
      <w:r w:rsidR="00095B48">
        <w:t>2002</w:t>
      </w:r>
    </w:p>
    <w:p w:rsidR="00E8584F" w:rsidRPr="00E8584F" w:rsidRDefault="00E8584F" w:rsidP="004566BC">
      <w:r>
        <w:rPr>
          <w:rStyle w:val="mcecontentarea"/>
        </w:rPr>
        <w:t xml:space="preserve">Anders Florén, </w:t>
      </w:r>
      <w:r w:rsidRPr="001010B8">
        <w:rPr>
          <w:rStyle w:val="mcecontentarea"/>
          <w:i/>
        </w:rPr>
        <w:t>Disciplinering och konflikt. Den sociala organiseringen av arbetet. Jäders bruk 1640-1750</w:t>
      </w:r>
      <w:r>
        <w:rPr>
          <w:rStyle w:val="mcecontentarea"/>
        </w:rPr>
        <w:t>, Uppsala 1987</w:t>
      </w:r>
    </w:p>
    <w:p w:rsidR="00ED741C" w:rsidRDefault="00ED741C" w:rsidP="004566BC">
      <w:r>
        <w:t xml:space="preserve">Pablo Wiking-Faria, </w:t>
      </w:r>
      <w:r>
        <w:rPr>
          <w:i/>
        </w:rPr>
        <w:t xml:space="preserve">Freden, friköpen och järnplogarna. Drivkrafter och förändringsprocesser under den agrara revolutionen i Halland 1700-1900, </w:t>
      </w:r>
      <w:r>
        <w:t>Göteborg 2009</w:t>
      </w:r>
    </w:p>
    <w:p w:rsidR="005062FC" w:rsidRDefault="00E8584F" w:rsidP="004566BC">
      <w:r>
        <w:t xml:space="preserve">Maria Ågren, </w:t>
      </w:r>
      <w:r>
        <w:rPr>
          <w:i/>
        </w:rPr>
        <w:t xml:space="preserve">Jord och gäld. Social skiktning och rättslig konflikt i södra Dalarna ca 1650-1850, </w:t>
      </w:r>
      <w:r>
        <w:t>Uppsala 1992</w:t>
      </w:r>
    </w:p>
    <w:p w:rsidR="00E8584F" w:rsidRPr="00E8584F" w:rsidRDefault="00E8584F" w:rsidP="004566BC"/>
    <w:p w:rsidR="004566BC" w:rsidRDefault="004566BC" w:rsidP="004566BC">
      <w:pPr>
        <w:rPr>
          <w:b/>
        </w:rPr>
      </w:pPr>
      <w:r w:rsidRPr="004566BC">
        <w:rPr>
          <w:b/>
        </w:rPr>
        <w:t>Hushåll, demografi</w:t>
      </w:r>
      <w:r w:rsidR="00131887">
        <w:rPr>
          <w:b/>
        </w:rPr>
        <w:t>, genus</w:t>
      </w:r>
    </w:p>
    <w:p w:rsidR="00C90918" w:rsidRDefault="00C90918" w:rsidP="004566BC">
      <w:r>
        <w:t xml:space="preserve">Gudrun Andersson, </w:t>
      </w:r>
      <w:r>
        <w:rPr>
          <w:i/>
        </w:rPr>
        <w:t>Tingets kvinnor och män. Genus som norm och strategi under 1600- och 1700-tal</w:t>
      </w:r>
      <w:r>
        <w:t>, Uppsala 1998</w:t>
      </w:r>
    </w:p>
    <w:p w:rsidR="00BB54B9" w:rsidRDefault="00BB54B9" w:rsidP="004566BC">
      <w:r>
        <w:t xml:space="preserve">Anna Hansen, </w:t>
      </w:r>
      <w:r>
        <w:rPr>
          <w:i/>
        </w:rPr>
        <w:t xml:space="preserve">Ordnade hushåll. Genus och kontroll i Jämtland under 1600-talet, </w:t>
      </w:r>
      <w:r>
        <w:t>Uppsala 2006</w:t>
      </w:r>
    </w:p>
    <w:p w:rsidR="00051E36" w:rsidRDefault="00051E36" w:rsidP="004566BC">
      <w:r>
        <w:t xml:space="preserve">Daniel Larsson, </w:t>
      </w:r>
      <w:r>
        <w:rPr>
          <w:i/>
        </w:rPr>
        <w:t xml:space="preserve">Den dolda </w:t>
      </w:r>
      <w:proofErr w:type="spellStart"/>
      <w:r>
        <w:rPr>
          <w:i/>
        </w:rPr>
        <w:t>transitionen</w:t>
      </w:r>
      <w:proofErr w:type="spellEnd"/>
      <w:r>
        <w:rPr>
          <w:i/>
        </w:rPr>
        <w:t xml:space="preserve">. Om ett demografiskt brytningsskede i det tidiga 1700-talets Sverige, </w:t>
      </w:r>
      <w:r>
        <w:t>Göteborg 2011</w:t>
      </w:r>
    </w:p>
    <w:p w:rsidR="00B22878" w:rsidRDefault="00B22878" w:rsidP="004566BC">
      <w:r>
        <w:t xml:space="preserve">Malin Lennartsson, </w:t>
      </w:r>
      <w:r>
        <w:rPr>
          <w:i/>
        </w:rPr>
        <w:t xml:space="preserve">I säng och säte. Relationer mellan kvinnor och män i 1600-talets Småland, </w:t>
      </w:r>
      <w:r>
        <w:t>Lund 1999</w:t>
      </w:r>
    </w:p>
    <w:p w:rsidR="00574663" w:rsidRPr="00574663" w:rsidRDefault="00574663" w:rsidP="004566BC">
      <w:r>
        <w:lastRenderedPageBreak/>
        <w:t xml:space="preserve">Christopher Pihl, </w:t>
      </w:r>
      <w:r>
        <w:rPr>
          <w:i/>
        </w:rPr>
        <w:t xml:space="preserve">Arbete. Skillnadsskapande och försörjning i 1500-talets Sverige, </w:t>
      </w:r>
      <w:r>
        <w:t>Uppsala 2012</w:t>
      </w:r>
    </w:p>
    <w:p w:rsidR="005062FC" w:rsidRDefault="005062FC" w:rsidP="004566BC">
      <w:pPr>
        <w:rPr>
          <w:b/>
        </w:rPr>
      </w:pPr>
    </w:p>
    <w:p w:rsidR="004566BC" w:rsidRDefault="004566BC" w:rsidP="004566BC">
      <w:pPr>
        <w:rPr>
          <w:b/>
        </w:rPr>
      </w:pPr>
      <w:r>
        <w:rPr>
          <w:b/>
        </w:rPr>
        <w:t>Religion</w:t>
      </w:r>
    </w:p>
    <w:p w:rsidR="00C90918" w:rsidRDefault="00C90918" w:rsidP="004566BC">
      <w:r>
        <w:t xml:space="preserve">Kajsa </w:t>
      </w:r>
      <w:proofErr w:type="spellStart"/>
      <w:r>
        <w:t>Brilkman</w:t>
      </w:r>
      <w:proofErr w:type="spellEnd"/>
      <w:r>
        <w:t xml:space="preserve">, </w:t>
      </w:r>
      <w:r>
        <w:rPr>
          <w:i/>
        </w:rPr>
        <w:t xml:space="preserve">Undersåten som förstod. Den svenska reformatoriska samtalsordningen och den tidigmoderna integrationsprocessen, </w:t>
      </w:r>
      <w:r>
        <w:t>Skellefteå 2013</w:t>
      </w:r>
    </w:p>
    <w:p w:rsidR="000822BC" w:rsidRPr="000822BC" w:rsidRDefault="000822BC" w:rsidP="004566BC">
      <w:r>
        <w:t xml:space="preserve">Carola Nordbäck, </w:t>
      </w:r>
      <w:r>
        <w:rPr>
          <w:i/>
        </w:rPr>
        <w:t>Samvetets röst. Om mötet mellan luthersk ortodoxi och konservativ pietism i 1720-talets Sverige</w:t>
      </w:r>
      <w:r>
        <w:t>, Umeå 2004</w:t>
      </w:r>
    </w:p>
    <w:p w:rsidR="00CC4B97" w:rsidRPr="00CC4B97" w:rsidRDefault="00CC4B97" w:rsidP="004566BC">
      <w:r>
        <w:t xml:space="preserve">Linda Oja, </w:t>
      </w:r>
      <w:r>
        <w:rPr>
          <w:i/>
        </w:rPr>
        <w:t xml:space="preserve">Varken Gud eller natur. Synen på magi 1600- och 1700-talets Sverige, </w:t>
      </w:r>
      <w:proofErr w:type="spellStart"/>
      <w:r>
        <w:t>u.o</w:t>
      </w:r>
      <w:proofErr w:type="spellEnd"/>
      <w:r>
        <w:t>. 1998</w:t>
      </w:r>
    </w:p>
    <w:p w:rsidR="005062FC" w:rsidRDefault="005062FC" w:rsidP="004566BC">
      <w:pPr>
        <w:rPr>
          <w:b/>
        </w:rPr>
      </w:pPr>
    </w:p>
    <w:p w:rsidR="004566BC" w:rsidRDefault="00BF0773" w:rsidP="004566BC">
      <w:pPr>
        <w:rPr>
          <w:b/>
        </w:rPr>
      </w:pPr>
      <w:r>
        <w:rPr>
          <w:b/>
        </w:rPr>
        <w:t>I</w:t>
      </w:r>
      <w:r w:rsidR="004566BC">
        <w:rPr>
          <w:b/>
        </w:rPr>
        <w:t>déer</w:t>
      </w:r>
      <w:r>
        <w:rPr>
          <w:b/>
        </w:rPr>
        <w:t xml:space="preserve"> och eliter</w:t>
      </w:r>
    </w:p>
    <w:p w:rsidR="00C90918" w:rsidRDefault="008B6ECA" w:rsidP="004566BC">
      <w:r>
        <w:t xml:space="preserve">Anders Hammarlund, </w:t>
      </w:r>
      <w:r>
        <w:rPr>
          <w:i/>
        </w:rPr>
        <w:t xml:space="preserve">Ett äventyr i Staten. Carl Gustav </w:t>
      </w:r>
      <w:proofErr w:type="spellStart"/>
      <w:r>
        <w:rPr>
          <w:i/>
        </w:rPr>
        <w:t>Heraeus</w:t>
      </w:r>
      <w:proofErr w:type="spellEnd"/>
      <w:r>
        <w:rPr>
          <w:i/>
        </w:rPr>
        <w:t xml:space="preserve"> 1671-1725. Från Stockholm </w:t>
      </w:r>
      <w:r w:rsidR="00E8584F">
        <w:rPr>
          <w:i/>
        </w:rPr>
        <w:t xml:space="preserve">till </w:t>
      </w:r>
      <w:r>
        <w:rPr>
          <w:i/>
        </w:rPr>
        <w:t xml:space="preserve">kejsarhovet i Wien, </w:t>
      </w:r>
      <w:r>
        <w:t>Stockholm 2003</w:t>
      </w:r>
    </w:p>
    <w:p w:rsidR="003F613F" w:rsidRDefault="003F613F" w:rsidP="004566BC">
      <w:r>
        <w:t xml:space="preserve">Andreas </w:t>
      </w:r>
      <w:proofErr w:type="spellStart"/>
      <w:r>
        <w:t>Hellerstedt</w:t>
      </w:r>
      <w:proofErr w:type="spellEnd"/>
      <w:r>
        <w:t xml:space="preserve">, </w:t>
      </w:r>
      <w:r>
        <w:rPr>
          <w:i/>
        </w:rPr>
        <w:t xml:space="preserve">Ödets teater. Ödesföreställningar i Sverige vid 1700-talets början, </w:t>
      </w:r>
      <w:r>
        <w:t>Lund 2009</w:t>
      </w:r>
    </w:p>
    <w:p w:rsidR="00095B48" w:rsidRPr="00A3798E" w:rsidRDefault="00A3798E" w:rsidP="004566BC">
      <w:r>
        <w:t xml:space="preserve">Hugo Nordland, </w:t>
      </w:r>
      <w:r>
        <w:rPr>
          <w:i/>
        </w:rPr>
        <w:t xml:space="preserve">Känslor i krig. Sensibilitet och emotionella strategier bland svenska officerare 788-1814, </w:t>
      </w:r>
      <w:r>
        <w:t>Lund 2015</w:t>
      </w:r>
    </w:p>
    <w:p w:rsidR="00ED741C" w:rsidRDefault="00ED741C" w:rsidP="00ED741C">
      <w:r>
        <w:t xml:space="preserve">Peter Ullgren, </w:t>
      </w:r>
      <w:r>
        <w:rPr>
          <w:i/>
        </w:rPr>
        <w:t xml:space="preserve">Lantadel. Adliga godsägare i Östergötland och Skåne vid 1600-talets slut, </w:t>
      </w:r>
      <w:r>
        <w:t>Lund 2004</w:t>
      </w:r>
    </w:p>
    <w:p w:rsidR="00095B48" w:rsidRDefault="00095B48" w:rsidP="004566BC">
      <w:pPr>
        <w:rPr>
          <w:b/>
        </w:rPr>
      </w:pPr>
    </w:p>
    <w:p w:rsidR="004566BC" w:rsidRDefault="004566BC" w:rsidP="004566BC">
      <w:pPr>
        <w:rPr>
          <w:b/>
        </w:rPr>
      </w:pPr>
      <w:r>
        <w:rPr>
          <w:b/>
        </w:rPr>
        <w:t>F</w:t>
      </w:r>
      <w:r w:rsidRPr="004566BC">
        <w:rPr>
          <w:b/>
        </w:rPr>
        <w:t>olklig kultur och föreställningsvärldar</w:t>
      </w:r>
    </w:p>
    <w:p w:rsidR="00C90918" w:rsidRDefault="00C90918" w:rsidP="004566BC">
      <w:r>
        <w:t xml:space="preserve">Björn Furuhagen, </w:t>
      </w:r>
      <w:r>
        <w:rPr>
          <w:i/>
        </w:rPr>
        <w:t xml:space="preserve">Berusade bönder och bråkiga båtsmän. Social kontroll vid sockenstämmor och ting under 1700-talet, </w:t>
      </w:r>
      <w:r>
        <w:t>Stockholm 1996</w:t>
      </w:r>
    </w:p>
    <w:p w:rsidR="00F93F9B" w:rsidRDefault="00F93F9B" w:rsidP="004566BC">
      <w:r>
        <w:t xml:space="preserve">Mikael Häll, </w:t>
      </w:r>
      <w:r>
        <w:rPr>
          <w:i/>
        </w:rPr>
        <w:t xml:space="preserve">Skogsrået, näcken och djävulen. Erotiska naturväsen och demonisk sexualitet i 1600- och 1700-talets Sverige, </w:t>
      </w:r>
      <w:r>
        <w:t>Stockholm 2013</w:t>
      </w:r>
    </w:p>
    <w:p w:rsidR="00A7574B" w:rsidRDefault="00A7574B" w:rsidP="00A7574B">
      <w:r>
        <w:t xml:space="preserve">Anna Nilsson, </w:t>
      </w:r>
      <w:r>
        <w:rPr>
          <w:i/>
        </w:rPr>
        <w:t xml:space="preserve">Lyckans betydelse. Sekularisering, sensibilisering och individualisering i svenska skillingtryck 1750-1850, </w:t>
      </w:r>
      <w:proofErr w:type="spellStart"/>
      <w:r>
        <w:t>u.o</w:t>
      </w:r>
      <w:proofErr w:type="spellEnd"/>
      <w:r>
        <w:t>. 2012</w:t>
      </w:r>
    </w:p>
    <w:p w:rsidR="00BF0773" w:rsidRPr="00BF0773" w:rsidRDefault="00095B48" w:rsidP="004566BC">
      <w:r>
        <w:t xml:space="preserve">Annika Sandén, </w:t>
      </w:r>
      <w:r w:rsidR="00BF0773">
        <w:rPr>
          <w:i/>
        </w:rPr>
        <w:t xml:space="preserve">Bödlar. Liv, död och skam i svenskt 1600-tal, </w:t>
      </w:r>
      <w:r w:rsidR="00BF0773">
        <w:t>Stockholm 2016</w:t>
      </w:r>
    </w:p>
    <w:p w:rsidR="000A5BE6" w:rsidRDefault="000A5BE6" w:rsidP="004566BC">
      <w:r>
        <w:t xml:space="preserve">Susanna Sjödin </w:t>
      </w:r>
      <w:proofErr w:type="spellStart"/>
      <w:r>
        <w:t>Lindenskoug</w:t>
      </w:r>
      <w:proofErr w:type="spellEnd"/>
      <w:r>
        <w:t xml:space="preserve">, </w:t>
      </w:r>
      <w:r>
        <w:rPr>
          <w:i/>
        </w:rPr>
        <w:t xml:space="preserve">Manlighetens bortre gräns. Tidelagsrättegångar i Livland 1685-1709, </w:t>
      </w:r>
      <w:r>
        <w:t>Stockholm 2011</w:t>
      </w:r>
    </w:p>
    <w:p w:rsidR="00F1798B" w:rsidRDefault="00F1798B">
      <w:pPr>
        <w:spacing w:line="276" w:lineRule="auto"/>
      </w:pPr>
      <w:r>
        <w:br w:type="page"/>
      </w:r>
    </w:p>
    <w:p w:rsidR="00F1798B" w:rsidRDefault="00F1798B" w:rsidP="004566BC"/>
    <w:p w:rsidR="001749D0" w:rsidRPr="001749D0" w:rsidRDefault="001749D0" w:rsidP="004566BC">
      <w:pPr>
        <w:rPr>
          <w:b/>
        </w:rPr>
      </w:pPr>
      <w:r w:rsidRPr="001749D0">
        <w:rPr>
          <w:b/>
        </w:rPr>
        <w:t>”Den andre”</w:t>
      </w:r>
    </w:p>
    <w:p w:rsidR="000A5BE6" w:rsidRDefault="001749D0" w:rsidP="004566BC">
      <w:r>
        <w:t xml:space="preserve">Maria Nyman, </w:t>
      </w:r>
      <w:r>
        <w:rPr>
          <w:i/>
        </w:rPr>
        <w:t xml:space="preserve">Resandets gränser. Svenska resenärers skildringar av Ryssland under 1700-talet, </w:t>
      </w:r>
      <w:r>
        <w:t>Huddinge 2013</w:t>
      </w:r>
    </w:p>
    <w:p w:rsidR="001749D0" w:rsidRPr="001749D0" w:rsidRDefault="001749D0" w:rsidP="004566BC">
      <w:r>
        <w:t xml:space="preserve">Joachim Östlund, </w:t>
      </w:r>
      <w:r>
        <w:rPr>
          <w:i/>
        </w:rPr>
        <w:t xml:space="preserve">Saltets pris. Svenska slavar i Nordafrika och handeln i Medelhavet 1650-1770, </w:t>
      </w:r>
      <w:r>
        <w:t>Lund 2014</w:t>
      </w:r>
    </w:p>
    <w:p w:rsidR="001749D0" w:rsidRPr="000A5BE6" w:rsidRDefault="001749D0" w:rsidP="004566BC">
      <w:pPr>
        <w:rPr>
          <w:i/>
        </w:rPr>
      </w:pPr>
    </w:p>
    <w:p w:rsidR="004566BC" w:rsidRDefault="004566BC" w:rsidP="004566BC">
      <w:pPr>
        <w:rPr>
          <w:b/>
        </w:rPr>
      </w:pPr>
      <w:r>
        <w:rPr>
          <w:b/>
        </w:rPr>
        <w:t>Politik</w:t>
      </w:r>
    </w:p>
    <w:p w:rsidR="0047529B" w:rsidRPr="0047529B" w:rsidRDefault="0047529B" w:rsidP="00C90918">
      <w:r>
        <w:t xml:space="preserve">Martin </w:t>
      </w:r>
      <w:proofErr w:type="spellStart"/>
      <w:r>
        <w:t>Almbjär</w:t>
      </w:r>
      <w:proofErr w:type="spellEnd"/>
      <w:r>
        <w:t xml:space="preserve">, </w:t>
      </w:r>
      <w:r>
        <w:rPr>
          <w:i/>
        </w:rPr>
        <w:t xml:space="preserve">The voice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people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Supplications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submitted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the Swedish Diet in the Age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Liberty, 1719-1772, </w:t>
      </w:r>
      <w:r>
        <w:t>Umeå 2016</w:t>
      </w:r>
    </w:p>
    <w:p w:rsidR="00037829" w:rsidRPr="00037829" w:rsidRDefault="00037829" w:rsidP="00C90918">
      <w:bookmarkStart w:id="0" w:name="_GoBack"/>
      <w:bookmarkEnd w:id="0"/>
      <w:r>
        <w:t xml:space="preserve">Kalle Bäck, </w:t>
      </w:r>
      <w:r>
        <w:rPr>
          <w:i/>
        </w:rPr>
        <w:t xml:space="preserve">Bondeopposition och bondeinflytande under frihetstiden. Centralmakten och östgötaböndernas reaktioner i näringspolitiska frågor, </w:t>
      </w:r>
      <w:r>
        <w:t>Stockholm 1984</w:t>
      </w:r>
    </w:p>
    <w:p w:rsidR="00C90918" w:rsidRDefault="00C90918" w:rsidP="00C90918">
      <w:r>
        <w:t xml:space="preserve">Peter Englund, </w:t>
      </w:r>
      <w:r>
        <w:rPr>
          <w:i/>
        </w:rPr>
        <w:t xml:space="preserve">Det hotade huset. Adliga föreställningar om samhället under stormaktstiden, </w:t>
      </w:r>
      <w:r>
        <w:t>Stockholm 1989</w:t>
      </w:r>
    </w:p>
    <w:p w:rsidR="00F46342" w:rsidRDefault="00F46342" w:rsidP="00C90918">
      <w:r>
        <w:t xml:space="preserve">Mats Hallenberg, </w:t>
      </w:r>
      <w:r>
        <w:rPr>
          <w:i/>
        </w:rPr>
        <w:t xml:space="preserve">Statsmakt till salu. Arendesystemet och privatiseringen av skatteuppbörden i det svenska riket 1618-1635, </w:t>
      </w:r>
      <w:r>
        <w:t>Lund 2008</w:t>
      </w:r>
    </w:p>
    <w:p w:rsidR="00AF0BE0" w:rsidRPr="00AF0BE0" w:rsidRDefault="00AF0BE0" w:rsidP="00AF0BE0">
      <w:r>
        <w:t xml:space="preserve">Johan Holm, </w:t>
      </w:r>
      <w:r>
        <w:rPr>
          <w:i/>
        </w:rPr>
        <w:t xml:space="preserve">Konstruktionen av en stormakt. Kungamakt, skattebönder och statsbildning 1595-1640, </w:t>
      </w:r>
      <w:r>
        <w:t>Stockholm 2007</w:t>
      </w:r>
    </w:p>
    <w:p w:rsidR="00A3798E" w:rsidRPr="00A3798E" w:rsidRDefault="00A3798E" w:rsidP="00C90918">
      <w:r>
        <w:t xml:space="preserve">Cristina Prytz, </w:t>
      </w:r>
      <w:r>
        <w:rPr>
          <w:i/>
        </w:rPr>
        <w:t xml:space="preserve">Familjen i kronans tjänst. Donationspraxis, förhandling och statsformering under svenskt 1600-tal, </w:t>
      </w:r>
      <w:r>
        <w:t>Uppsala 2013</w:t>
      </w:r>
    </w:p>
    <w:p w:rsidR="00ED741C" w:rsidRPr="00ED741C" w:rsidRDefault="00ED741C" w:rsidP="00C90918">
      <w:r>
        <w:t xml:space="preserve">Karin </w:t>
      </w:r>
      <w:proofErr w:type="spellStart"/>
      <w:r>
        <w:t>Sennefelt</w:t>
      </w:r>
      <w:proofErr w:type="spellEnd"/>
      <w:r>
        <w:t xml:space="preserve">, </w:t>
      </w:r>
      <w:r>
        <w:rPr>
          <w:i/>
        </w:rPr>
        <w:t xml:space="preserve">Politikens hjärta. Medborgarskap, manlighet och plats i frihetstidens Stockholm, </w:t>
      </w:r>
      <w:r>
        <w:t>Stockholm u.å. [2011]</w:t>
      </w:r>
    </w:p>
    <w:p w:rsidR="005062FC" w:rsidRDefault="005062FC" w:rsidP="004566BC">
      <w:pPr>
        <w:rPr>
          <w:b/>
        </w:rPr>
      </w:pPr>
    </w:p>
    <w:p w:rsidR="008169B2" w:rsidRDefault="008169B2" w:rsidP="004566BC"/>
    <w:sectPr w:rsidR="008169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D2" w:rsidRDefault="004434D2" w:rsidP="00F1798B">
      <w:pPr>
        <w:spacing w:after="0"/>
      </w:pPr>
      <w:r>
        <w:separator/>
      </w:r>
    </w:p>
  </w:endnote>
  <w:endnote w:type="continuationSeparator" w:id="0">
    <w:p w:rsidR="004434D2" w:rsidRDefault="004434D2" w:rsidP="00F17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217649"/>
      <w:docPartObj>
        <w:docPartGallery w:val="Page Numbers (Bottom of Page)"/>
        <w:docPartUnique/>
      </w:docPartObj>
    </w:sdtPr>
    <w:sdtEndPr/>
    <w:sdtContent>
      <w:p w:rsidR="00F1798B" w:rsidRDefault="00F1798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013">
          <w:rPr>
            <w:noProof/>
          </w:rPr>
          <w:t>3</w:t>
        </w:r>
        <w:r>
          <w:fldChar w:fldCharType="end"/>
        </w:r>
      </w:p>
    </w:sdtContent>
  </w:sdt>
  <w:p w:rsidR="00F1798B" w:rsidRDefault="00F1798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D2" w:rsidRDefault="004434D2" w:rsidP="00F1798B">
      <w:pPr>
        <w:spacing w:after="0"/>
      </w:pPr>
      <w:r>
        <w:separator/>
      </w:r>
    </w:p>
  </w:footnote>
  <w:footnote w:type="continuationSeparator" w:id="0">
    <w:p w:rsidR="004434D2" w:rsidRDefault="004434D2" w:rsidP="00F179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BC"/>
    <w:rsid w:val="0002261D"/>
    <w:rsid w:val="00037829"/>
    <w:rsid w:val="00051E36"/>
    <w:rsid w:val="000822BC"/>
    <w:rsid w:val="00095B48"/>
    <w:rsid w:val="000A5BE6"/>
    <w:rsid w:val="001010B8"/>
    <w:rsid w:val="00131887"/>
    <w:rsid w:val="001749D0"/>
    <w:rsid w:val="0020192A"/>
    <w:rsid w:val="00246607"/>
    <w:rsid w:val="0027097C"/>
    <w:rsid w:val="00322AC9"/>
    <w:rsid w:val="003F613F"/>
    <w:rsid w:val="004434D2"/>
    <w:rsid w:val="004566BC"/>
    <w:rsid w:val="0047529B"/>
    <w:rsid w:val="00486C2A"/>
    <w:rsid w:val="004D0CDA"/>
    <w:rsid w:val="004E4422"/>
    <w:rsid w:val="005062FC"/>
    <w:rsid w:val="00574663"/>
    <w:rsid w:val="005940BA"/>
    <w:rsid w:val="00697507"/>
    <w:rsid w:val="006B6BD6"/>
    <w:rsid w:val="00761BE0"/>
    <w:rsid w:val="007E626D"/>
    <w:rsid w:val="0080032D"/>
    <w:rsid w:val="008169B2"/>
    <w:rsid w:val="00887416"/>
    <w:rsid w:val="00893794"/>
    <w:rsid w:val="008B6ECA"/>
    <w:rsid w:val="008D1C7A"/>
    <w:rsid w:val="009B5607"/>
    <w:rsid w:val="00A3798E"/>
    <w:rsid w:val="00A7574B"/>
    <w:rsid w:val="00AA04CC"/>
    <w:rsid w:val="00AF0BE0"/>
    <w:rsid w:val="00B22878"/>
    <w:rsid w:val="00BB54B9"/>
    <w:rsid w:val="00BD4B6A"/>
    <w:rsid w:val="00BF0773"/>
    <w:rsid w:val="00C439D3"/>
    <w:rsid w:val="00C90918"/>
    <w:rsid w:val="00CC1013"/>
    <w:rsid w:val="00CC4B97"/>
    <w:rsid w:val="00D33F5A"/>
    <w:rsid w:val="00E8584F"/>
    <w:rsid w:val="00ED741C"/>
    <w:rsid w:val="00F1798B"/>
    <w:rsid w:val="00F46342"/>
    <w:rsid w:val="00F93F9B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BC"/>
    <w:pPr>
      <w:spacing w:line="240" w:lineRule="auto"/>
    </w:pPr>
    <w:rPr>
      <w:rFonts w:cstheme="minorBidi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cecontentarea">
    <w:name w:val="mcecontentarea"/>
    <w:basedOn w:val="Standardstycketeckensnitt"/>
    <w:rsid w:val="00E8584F"/>
  </w:style>
  <w:style w:type="paragraph" w:styleId="Sidhuvud">
    <w:name w:val="header"/>
    <w:basedOn w:val="Normal"/>
    <w:link w:val="SidhuvudChar"/>
    <w:uiPriority w:val="99"/>
    <w:unhideWhenUsed/>
    <w:rsid w:val="00F1798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1798B"/>
    <w:rPr>
      <w:rFonts w:cstheme="minorBidi"/>
      <w:szCs w:val="22"/>
    </w:rPr>
  </w:style>
  <w:style w:type="paragraph" w:styleId="Sidfot">
    <w:name w:val="footer"/>
    <w:basedOn w:val="Normal"/>
    <w:link w:val="SidfotChar"/>
    <w:uiPriority w:val="99"/>
    <w:unhideWhenUsed/>
    <w:rsid w:val="00F1798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1798B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BC"/>
    <w:pPr>
      <w:spacing w:line="240" w:lineRule="auto"/>
    </w:pPr>
    <w:rPr>
      <w:rFonts w:cstheme="minorBidi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cecontentarea">
    <w:name w:val="mcecontentarea"/>
    <w:basedOn w:val="Standardstycketeckensnitt"/>
    <w:rsid w:val="00E8584F"/>
  </w:style>
  <w:style w:type="paragraph" w:styleId="Sidhuvud">
    <w:name w:val="header"/>
    <w:basedOn w:val="Normal"/>
    <w:link w:val="SidhuvudChar"/>
    <w:uiPriority w:val="99"/>
    <w:unhideWhenUsed/>
    <w:rsid w:val="00F1798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1798B"/>
    <w:rPr>
      <w:rFonts w:cstheme="minorBidi"/>
      <w:szCs w:val="22"/>
    </w:rPr>
  </w:style>
  <w:style w:type="paragraph" w:styleId="Sidfot">
    <w:name w:val="footer"/>
    <w:basedOn w:val="Normal"/>
    <w:link w:val="SidfotChar"/>
    <w:uiPriority w:val="99"/>
    <w:unhideWhenUsed/>
    <w:rsid w:val="00F1798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1798B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666</Words>
  <Characters>3669</Characters>
  <Application>Microsoft Office Word</Application>
  <DocSecurity>0</DocSecurity>
  <Lines>50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Gustafsson</dc:creator>
  <cp:lastModifiedBy>Harald Gustafsson</cp:lastModifiedBy>
  <cp:revision>15</cp:revision>
  <dcterms:created xsi:type="dcterms:W3CDTF">2016-08-26T07:44:00Z</dcterms:created>
  <dcterms:modified xsi:type="dcterms:W3CDTF">2017-01-09T12:49:00Z</dcterms:modified>
</cp:coreProperties>
</file>